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10" w:lineRule="atLeast"/>
        <w:jc w:val="left"/>
        <w:rPr>
          <w:rFonts w:hint="eastAsia" w:ascii="宋体" w:hAnsi="宋体" w:cs="宋体"/>
          <w:color w:val="222222"/>
          <w:kern w:val="0"/>
          <w:sz w:val="24"/>
        </w:rPr>
      </w:pPr>
      <w:r>
        <w:rPr>
          <w:rFonts w:hint="eastAsia" w:ascii="宋体" w:hAnsi="宋体" w:cs="宋体"/>
          <w:b/>
          <w:bCs/>
          <w:color w:val="222222"/>
          <w:kern w:val="0"/>
          <w:sz w:val="24"/>
        </w:rPr>
        <w:t>附件一：</w:t>
      </w:r>
    </w:p>
    <w:tbl>
      <w:tblPr>
        <w:tblStyle w:val="5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758"/>
        <w:gridCol w:w="2007"/>
        <w:gridCol w:w="992"/>
        <w:gridCol w:w="992"/>
        <w:gridCol w:w="85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柜号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箱柜型号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总价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B1APXF1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第一包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XFB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B1APPL1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PLB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B1APSP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SPB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STE-110/6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消防泵控制柜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51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B1APE402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双电源控制柜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5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B1APE402a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喷淋泵控制柜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B1APE402b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室外消火栓泵控制柜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B1APE403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双电源控制柜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B1APE403a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消防水炮泵控制柜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B1APE403b</w:t>
            </w: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室内消火栓泵控制柜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55" w:type="dxa"/>
            <w:noWrap w:val="0"/>
            <w:vAlign w:val="top"/>
          </w:tcPr>
          <w:p>
            <w:pPr>
              <w:shd w:val="clear" w:color="auto" w:fill="FFFFFF"/>
              <w:spacing w:line="510" w:lineRule="atLeast"/>
              <w:ind w:left="-91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007" w:type="dxa"/>
            <w:noWrap w:val="0"/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4"/>
              </w:rPr>
              <w:t>消防巡检柜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FangSong_GB2312">
    <w:altName w:val="@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27134"/>
    <w:rsid w:val="04D2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  <w:style w:type="paragraph" w:styleId="3">
    <w:name w:val="Body Text Indent"/>
    <w:basedOn w:val="1"/>
    <w:next w:val="4"/>
    <w:unhideWhenUsed/>
    <w:qFormat/>
    <w:uiPriority w:val="0"/>
    <w:pPr>
      <w:ind w:firstLine="645"/>
    </w:pPr>
    <w:rPr>
      <w:rFonts w:ascii="@FangSong_GB2312" w:hAnsi="@FangSong_GB2312" w:eastAsia="@FangSong_GB2312"/>
      <w:kern w:val="0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2021-02-03T06:49:00Z</dcterms:created>
  <dc:creator>心若向阳</dc:creator>
  <cp:lastModifiedBy>心若向阳</cp:lastModifiedBy>
  <dcterms:modified xsi:type="dcterms:W3CDTF">2021-02-03T06:49:47Z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